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right="0"/>
        <w:jc w:val="center"/>
        <w:textAlignment w:val="auto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决赛评分标准（</w:t>
      </w:r>
      <w:r>
        <w:rPr>
          <w:rFonts w:hint="eastAsia" w:eastAsia="方正小标宋简体"/>
          <w:b/>
          <w:bCs/>
          <w:sz w:val="44"/>
          <w:szCs w:val="44"/>
        </w:rPr>
        <w:t>职业规划</w:t>
      </w:r>
      <w:r>
        <w:rPr>
          <w:rFonts w:eastAsia="方正小标宋简体"/>
          <w:b/>
          <w:bCs/>
          <w:sz w:val="44"/>
          <w:szCs w:val="44"/>
        </w:rPr>
        <w:t>类）</w:t>
      </w:r>
    </w:p>
    <w:tbl>
      <w:tblPr>
        <w:tblStyle w:val="3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1422"/>
        <w:gridCol w:w="6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 评分要素</w:t>
            </w:r>
          </w:p>
        </w:tc>
        <w:tc>
          <w:tcPr>
            <w:tcW w:w="14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>
              <w:rPr>
                <w:rFonts w:eastAsia="仿宋_GB2312"/>
                <w:bCs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4.PPT设计重点突出，简明扼要，条理清晰，结论明确，能够准确提炼职业规划设计作品的主要内容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8"/>
                <w:szCs w:val="28"/>
              </w:rPr>
              <w:t>0分）</w:t>
            </w:r>
          </w:p>
        </w:tc>
        <w:tc>
          <w:tcPr>
            <w:tcW w:w="14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4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4.应变能力强，能够灵活地、创造性地应用职业规划知识作答</w:t>
            </w:r>
          </w:p>
        </w:tc>
      </w:tr>
    </w:tbl>
    <w:p>
      <w:pPr>
        <w:spacing w:line="4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76DF2"/>
    <w:rsid w:val="3867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2022-06-10T00:48:00Z</dcterms:created>
  <dc:creator>USER</dc:creator>
  <cp:lastModifiedBy>USER</cp:lastModifiedBy>
  <dcterms:modified xsi:type="dcterms:W3CDTF">2022-06-10T00:49:21Z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4C98CCD23D124089B57DCF2D508A45B3</vt:lpwstr>
  </property>
</Properties>
</file>